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-269727</wp:posOffset>
            </wp:positionH>
            <wp:positionV relativeFrom="paragraph">
              <wp:posOffset>206375</wp:posOffset>
            </wp:positionV>
            <wp:extent cx="1609090" cy="67056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9090" cy="670560"/>
                    </a:xfrm>
                    <a:prstGeom prst="rect"/>
                    <a:ln/>
                  </pic:spPr>
                </pic:pic>
              </a:graphicData>
            </a:graphic>
          </wp:anchor>
        </w:drawing>
      </w:r>
    </w:p>
    <w:p w:rsidR="00000000" w:rsidDel="00000000" w:rsidP="00000000" w:rsidRDefault="00000000" w:rsidRPr="00000000" w14:paraId="00000002">
      <w:pPr>
        <w:pStyle w:val="Heading1"/>
        <w:spacing w:after="0" w:before="40" w:line="259" w:lineRule="auto"/>
        <w:ind w:right="4"/>
        <w:jc w:val="right"/>
        <w:rPr>
          <w:rFonts w:ascii="Calibri" w:cs="Calibri" w:eastAsia="Calibri" w:hAnsi="Calibri"/>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3">
      <w:pPr>
        <w:pStyle w:val="Heading1"/>
        <w:spacing w:after="0" w:before="40" w:line="259" w:lineRule="auto"/>
        <w:ind w:right="4"/>
        <w:jc w:val="righ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Job description &amp; Person Specification</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
          <w:szCs w:val="2"/>
        </w:rPr>
      </w:pPr>
      <w:r w:rsidDel="00000000" w:rsidR="00000000" w:rsidRPr="00000000">
        <w:rPr>
          <w:rtl w:val="0"/>
        </w:rPr>
      </w:r>
    </w:p>
    <w:tbl>
      <w:tblPr>
        <w:tblStyle w:val="Table1"/>
        <w:tblW w:w="9923.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2835"/>
        <w:gridCol w:w="2126"/>
        <w:gridCol w:w="2835"/>
        <w:tblGridChange w:id="0">
          <w:tblGrid>
            <w:gridCol w:w="2127"/>
            <w:gridCol w:w="2835"/>
            <w:gridCol w:w="2126"/>
            <w:gridCol w:w="2835"/>
          </w:tblGrid>
        </w:tblGridChange>
      </w:tblGrid>
      <w:tr>
        <w:trPr>
          <w:cantSplit w:val="0"/>
          <w:trHeight w:val="420" w:hRule="atLeast"/>
          <w:tblHeader w:val="0"/>
        </w:trPr>
        <w:tc>
          <w:tcPr>
            <w:shd w:fill="d9d9d9" w:val="clear"/>
          </w:tcPr>
          <w:p w:rsidR="00000000" w:rsidDel="00000000" w:rsidP="00000000" w:rsidRDefault="00000000" w:rsidRPr="00000000" w14:paraId="00000006">
            <w:pPr>
              <w:spacing w:line="276" w:lineRule="auto"/>
              <w:rPr/>
            </w:pPr>
            <w:r w:rsidDel="00000000" w:rsidR="00000000" w:rsidRPr="00000000">
              <w:rPr>
                <w:rtl w:val="0"/>
              </w:rPr>
              <w:t xml:space="preserve">Job title</w:t>
            </w:r>
          </w:p>
        </w:tc>
        <w:tc>
          <w:tcPr>
            <w:gridSpan w:val="3"/>
            <w:shd w:fill="ffffff" w:val="clear"/>
          </w:tcPr>
          <w:p w:rsidR="00000000" w:rsidDel="00000000" w:rsidP="00000000" w:rsidRDefault="00000000" w:rsidRPr="00000000" w14:paraId="00000007">
            <w:pPr>
              <w:spacing w:line="276" w:lineRule="auto"/>
              <w:rPr/>
            </w:pPr>
            <w:r w:rsidDel="00000000" w:rsidR="00000000" w:rsidRPr="00000000">
              <w:rPr>
                <w:rtl w:val="0"/>
              </w:rPr>
              <w:t xml:space="preserve">Treasurer (Trustee)</w:t>
            </w:r>
          </w:p>
        </w:tc>
      </w:tr>
      <w:tr>
        <w:trPr>
          <w:cantSplit w:val="0"/>
          <w:trHeight w:val="460" w:hRule="atLeast"/>
          <w:tblHeader w:val="0"/>
        </w:trPr>
        <w:tc>
          <w:tcPr>
            <w:shd w:fill="d9d9d9" w:val="clear"/>
          </w:tcPr>
          <w:p w:rsidR="00000000" w:rsidDel="00000000" w:rsidP="00000000" w:rsidRDefault="00000000" w:rsidRPr="00000000" w14:paraId="0000000A">
            <w:pPr>
              <w:spacing w:line="276" w:lineRule="auto"/>
              <w:rPr/>
            </w:pPr>
            <w:r w:rsidDel="00000000" w:rsidR="00000000" w:rsidRPr="00000000">
              <w:rPr>
                <w:rtl w:val="0"/>
              </w:rPr>
              <w:t xml:space="preserve">Working hours</w:t>
            </w:r>
          </w:p>
        </w:tc>
        <w:tc>
          <w:tcPr>
            <w:shd w:fill="ffffff" w:val="clear"/>
          </w:tcPr>
          <w:p w:rsidR="00000000" w:rsidDel="00000000" w:rsidP="00000000" w:rsidRDefault="00000000" w:rsidRPr="00000000" w14:paraId="0000000B">
            <w:pPr>
              <w:spacing w:line="276" w:lineRule="auto"/>
              <w:rPr/>
            </w:pPr>
            <w:r w:rsidDel="00000000" w:rsidR="00000000" w:rsidRPr="00000000">
              <w:rPr>
                <w:rtl w:val="0"/>
              </w:rPr>
            </w:r>
          </w:p>
        </w:tc>
        <w:tc>
          <w:tcPr>
            <w:shd w:fill="d9d9d9" w:val="clear"/>
          </w:tcPr>
          <w:p w:rsidR="00000000" w:rsidDel="00000000" w:rsidP="00000000" w:rsidRDefault="00000000" w:rsidRPr="00000000" w14:paraId="0000000C">
            <w:pPr>
              <w:spacing w:line="276" w:lineRule="auto"/>
              <w:rPr/>
            </w:pPr>
            <w:r w:rsidDel="00000000" w:rsidR="00000000" w:rsidRPr="00000000">
              <w:rPr>
                <w:rtl w:val="0"/>
              </w:rPr>
              <w:t xml:space="preserve">Contract Type</w:t>
            </w:r>
          </w:p>
        </w:tc>
        <w:tc>
          <w:tcPr>
            <w:shd w:fill="ffffff" w:val="clear"/>
          </w:tcPr>
          <w:p w:rsidR="00000000" w:rsidDel="00000000" w:rsidP="00000000" w:rsidRDefault="00000000" w:rsidRPr="00000000" w14:paraId="0000000D">
            <w:pPr>
              <w:spacing w:line="276" w:lineRule="auto"/>
              <w:rPr/>
            </w:pPr>
            <w:r w:rsidDel="00000000" w:rsidR="00000000" w:rsidRPr="00000000">
              <w:rPr>
                <w:rtl w:val="0"/>
              </w:rPr>
              <w:t xml:space="preserve">Voluntary</w:t>
            </w:r>
          </w:p>
        </w:tc>
      </w:tr>
      <w:tr>
        <w:trPr>
          <w:cantSplit w:val="0"/>
          <w:trHeight w:val="460" w:hRule="atLeast"/>
          <w:tblHeader w:val="0"/>
        </w:trPr>
        <w:tc>
          <w:tcPr>
            <w:shd w:fill="d9d9d9" w:val="clear"/>
          </w:tcPr>
          <w:p w:rsidR="00000000" w:rsidDel="00000000" w:rsidP="00000000" w:rsidRDefault="00000000" w:rsidRPr="00000000" w14:paraId="0000000E">
            <w:pPr>
              <w:spacing w:line="276" w:lineRule="auto"/>
              <w:rPr/>
            </w:pPr>
            <w:r w:rsidDel="00000000" w:rsidR="00000000" w:rsidRPr="00000000">
              <w:rPr>
                <w:rtl w:val="0"/>
              </w:rPr>
              <w:t xml:space="preserve">Salary</w:t>
            </w:r>
          </w:p>
        </w:tc>
        <w:tc>
          <w:tcPr>
            <w:shd w:fill="ffffff" w:val="clear"/>
          </w:tcPr>
          <w:p w:rsidR="00000000" w:rsidDel="00000000" w:rsidP="00000000" w:rsidRDefault="00000000" w:rsidRPr="00000000" w14:paraId="0000000F">
            <w:pPr>
              <w:spacing w:line="276" w:lineRule="auto"/>
              <w:rPr/>
            </w:pPr>
            <w:r w:rsidDel="00000000" w:rsidR="00000000" w:rsidRPr="00000000">
              <w:rPr>
                <w:rtl w:val="0"/>
              </w:rPr>
              <w:t xml:space="preserve">NA</w:t>
            </w:r>
          </w:p>
        </w:tc>
        <w:tc>
          <w:tcPr>
            <w:shd w:fill="d9d9d9" w:val="clear"/>
          </w:tcPr>
          <w:p w:rsidR="00000000" w:rsidDel="00000000" w:rsidP="00000000" w:rsidRDefault="00000000" w:rsidRPr="00000000" w14:paraId="00000010">
            <w:pPr>
              <w:spacing w:line="276" w:lineRule="auto"/>
              <w:rPr/>
            </w:pPr>
            <w:r w:rsidDel="00000000" w:rsidR="00000000" w:rsidRPr="00000000">
              <w:rPr>
                <w:rtl w:val="0"/>
              </w:rPr>
              <w:t xml:space="preserve">Holiday entitlement</w:t>
            </w:r>
          </w:p>
        </w:tc>
        <w:tc>
          <w:tcPr>
            <w:shd w:fill="ffffff" w:val="clear"/>
          </w:tcPr>
          <w:p w:rsidR="00000000" w:rsidDel="00000000" w:rsidP="00000000" w:rsidRDefault="00000000" w:rsidRPr="00000000" w14:paraId="00000011">
            <w:pPr>
              <w:spacing w:line="276" w:lineRule="auto"/>
              <w:rPr/>
            </w:pPr>
            <w:r w:rsidDel="00000000" w:rsidR="00000000" w:rsidRPr="00000000">
              <w:rPr>
                <w:rtl w:val="0"/>
              </w:rPr>
              <w:t xml:space="preserve">NA</w:t>
            </w:r>
            <w:r w:rsidDel="00000000" w:rsidR="00000000" w:rsidRPr="00000000">
              <w:rPr>
                <w:rtl w:val="0"/>
              </w:rPr>
            </w:r>
          </w:p>
        </w:tc>
      </w:tr>
      <w:tr>
        <w:trPr>
          <w:cantSplit w:val="0"/>
          <w:trHeight w:val="460" w:hRule="atLeast"/>
          <w:tblHeader w:val="0"/>
        </w:trPr>
        <w:tc>
          <w:tcPr>
            <w:shd w:fill="d9d9d9" w:val="clear"/>
          </w:tcPr>
          <w:p w:rsidR="00000000" w:rsidDel="00000000" w:rsidP="00000000" w:rsidRDefault="00000000" w:rsidRPr="00000000" w14:paraId="00000012">
            <w:pPr>
              <w:spacing w:line="276" w:lineRule="auto"/>
              <w:rPr/>
            </w:pPr>
            <w:r w:rsidDel="00000000" w:rsidR="00000000" w:rsidRPr="00000000">
              <w:rPr>
                <w:rtl w:val="0"/>
              </w:rPr>
              <w:t xml:space="preserve">Open to job share</w:t>
            </w:r>
          </w:p>
        </w:tc>
        <w:tc>
          <w:tcPr>
            <w:shd w:fill="ffffff" w:val="clear"/>
          </w:tcPr>
          <w:p w:rsidR="00000000" w:rsidDel="00000000" w:rsidP="00000000" w:rsidRDefault="00000000" w:rsidRPr="00000000" w14:paraId="00000013">
            <w:pPr>
              <w:spacing w:line="276" w:lineRule="auto"/>
              <w:rPr/>
            </w:pPr>
            <w:r w:rsidDel="00000000" w:rsidR="00000000" w:rsidRPr="00000000">
              <w:rPr>
                <w:rtl w:val="0"/>
              </w:rPr>
              <w:t xml:space="preserve">No</w:t>
            </w:r>
          </w:p>
        </w:tc>
        <w:tc>
          <w:tcPr>
            <w:shd w:fill="d9d9d9" w:val="clear"/>
          </w:tcPr>
          <w:p w:rsidR="00000000" w:rsidDel="00000000" w:rsidP="00000000" w:rsidRDefault="00000000" w:rsidRPr="00000000" w14:paraId="00000014">
            <w:pPr>
              <w:spacing w:line="276" w:lineRule="auto"/>
              <w:rPr/>
            </w:pPr>
            <w:r w:rsidDel="00000000" w:rsidR="00000000" w:rsidRPr="00000000">
              <w:rPr>
                <w:rtl w:val="0"/>
              </w:rPr>
              <w:t xml:space="preserve">Disclosure check required</w:t>
            </w:r>
          </w:p>
        </w:tc>
        <w:tc>
          <w:tcPr>
            <w:shd w:fill="ffffff" w:val="clear"/>
          </w:tcPr>
          <w:p w:rsidR="00000000" w:rsidDel="00000000" w:rsidP="00000000" w:rsidRDefault="00000000" w:rsidRPr="00000000" w14:paraId="00000015">
            <w:pPr>
              <w:spacing w:line="276" w:lineRule="auto"/>
              <w:rPr/>
            </w:pPr>
            <w:r w:rsidDel="00000000" w:rsidR="00000000" w:rsidRPr="00000000">
              <w:rPr>
                <w:rtl w:val="0"/>
              </w:rPr>
              <w:t xml:space="preserve">Yes</w:t>
            </w:r>
          </w:p>
        </w:tc>
      </w:tr>
      <w:tr>
        <w:trPr>
          <w:cantSplit w:val="0"/>
          <w:trHeight w:val="460" w:hRule="atLeast"/>
          <w:tblHeader w:val="0"/>
        </w:trPr>
        <w:tc>
          <w:tcPr>
            <w:shd w:fill="d9d9d9" w:val="clear"/>
          </w:tcPr>
          <w:p w:rsidR="00000000" w:rsidDel="00000000" w:rsidP="00000000" w:rsidRDefault="00000000" w:rsidRPr="00000000" w14:paraId="00000016">
            <w:pPr>
              <w:spacing w:line="276" w:lineRule="auto"/>
              <w:rPr/>
            </w:pPr>
            <w:r w:rsidDel="00000000" w:rsidR="00000000" w:rsidRPr="00000000">
              <w:rPr>
                <w:rtl w:val="0"/>
              </w:rPr>
              <w:t xml:space="preserve">Location</w:t>
            </w:r>
          </w:p>
        </w:tc>
        <w:tc>
          <w:tcPr>
            <w:shd w:fill="ffffff" w:val="clear"/>
          </w:tcPr>
          <w:p w:rsidR="00000000" w:rsidDel="00000000" w:rsidP="00000000" w:rsidRDefault="00000000" w:rsidRPr="00000000" w14:paraId="00000017">
            <w:pPr>
              <w:spacing w:line="276" w:lineRule="auto"/>
              <w:rPr/>
            </w:pPr>
            <w:r w:rsidDel="00000000" w:rsidR="00000000" w:rsidRPr="00000000">
              <w:rPr>
                <w:rtl w:val="0"/>
              </w:rPr>
              <w:t xml:space="preserve">Hybrid (Board meets online and in person in Margate)</w:t>
            </w:r>
          </w:p>
        </w:tc>
        <w:tc>
          <w:tcPr>
            <w:shd w:fill="d9d9d9" w:val="clear"/>
          </w:tcPr>
          <w:p w:rsidR="00000000" w:rsidDel="00000000" w:rsidP="00000000" w:rsidRDefault="00000000" w:rsidRPr="00000000" w14:paraId="00000018">
            <w:pPr>
              <w:spacing w:line="276" w:lineRule="auto"/>
              <w:rPr/>
            </w:pPr>
            <w:r w:rsidDel="00000000" w:rsidR="00000000" w:rsidRPr="00000000">
              <w:rPr>
                <w:rtl w:val="0"/>
              </w:rPr>
              <w:t xml:space="preserve">Probation period</w:t>
            </w:r>
          </w:p>
        </w:tc>
        <w:tc>
          <w:tcPr>
            <w:shd w:fill="ffffff" w:val="clear"/>
          </w:tcPr>
          <w:p w:rsidR="00000000" w:rsidDel="00000000" w:rsidP="00000000" w:rsidRDefault="00000000" w:rsidRPr="00000000" w14:paraId="00000019">
            <w:pPr>
              <w:spacing w:line="276" w:lineRule="auto"/>
              <w:rPr/>
            </w:pPr>
            <w:r w:rsidDel="00000000" w:rsidR="00000000" w:rsidRPr="00000000">
              <w:rPr>
                <w:rtl w:val="0"/>
              </w:rPr>
              <w:t xml:space="preserve">NA</w:t>
            </w:r>
          </w:p>
        </w:tc>
      </w:tr>
    </w:tbl>
    <w:p w:rsidR="00000000" w:rsidDel="00000000" w:rsidP="00000000" w:rsidRDefault="00000000" w:rsidRPr="00000000" w14:paraId="0000001A">
      <w:pPr>
        <w:spacing w:line="276" w:lineRule="auto"/>
        <w:rPr/>
      </w:pPr>
      <w:r w:rsidDel="00000000" w:rsidR="00000000" w:rsidRPr="00000000">
        <w:rPr>
          <w:rtl w:val="0"/>
        </w:rPr>
      </w:r>
    </w:p>
    <w:tbl>
      <w:tblPr>
        <w:tblStyle w:val="Table2"/>
        <w:tblW w:w="9923.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9"/>
        <w:gridCol w:w="6934"/>
        <w:tblGridChange w:id="0">
          <w:tblGrid>
            <w:gridCol w:w="2989"/>
            <w:gridCol w:w="6934"/>
          </w:tblGrid>
        </w:tblGridChange>
      </w:tblGrid>
      <w:tr>
        <w:trPr>
          <w:cantSplit w:val="0"/>
          <w:trHeight w:val="480" w:hRule="atLeast"/>
          <w:tblHeader w:val="0"/>
        </w:trPr>
        <w:tc>
          <w:tcPr>
            <w:shd w:fill="d9d9d9" w:val="clear"/>
          </w:tcPr>
          <w:p w:rsidR="00000000" w:rsidDel="00000000" w:rsidP="00000000" w:rsidRDefault="00000000" w:rsidRPr="00000000" w14:paraId="0000001B">
            <w:pPr>
              <w:spacing w:line="276" w:lineRule="auto"/>
              <w:rPr/>
            </w:pPr>
            <w:r w:rsidDel="00000000" w:rsidR="00000000" w:rsidRPr="00000000">
              <w:rPr>
                <w:rtl w:val="0"/>
              </w:rPr>
              <w:t xml:space="preserve">Responsible to</w:t>
            </w:r>
          </w:p>
        </w:tc>
        <w:tc>
          <w:tcPr>
            <w:shd w:fill="ffffff" w:val="clear"/>
          </w:tcPr>
          <w:p w:rsidR="00000000" w:rsidDel="00000000" w:rsidP="00000000" w:rsidRDefault="00000000" w:rsidRPr="00000000" w14:paraId="0000001C">
            <w:pPr>
              <w:spacing w:line="276" w:lineRule="auto"/>
              <w:rPr/>
            </w:pPr>
            <w:r w:rsidDel="00000000" w:rsidR="00000000" w:rsidRPr="00000000">
              <w:rPr>
                <w:rtl w:val="0"/>
              </w:rPr>
              <w:t xml:space="preserve">Head of Board of Trustees and the board</w:t>
            </w:r>
          </w:p>
        </w:tc>
      </w:tr>
    </w:tbl>
    <w:p w:rsidR="00000000" w:rsidDel="00000000" w:rsidP="00000000" w:rsidRDefault="00000000" w:rsidRPr="00000000" w14:paraId="0000001D">
      <w:pPr>
        <w:spacing w:line="276" w:lineRule="auto"/>
        <w:rPr/>
      </w:pPr>
      <w:r w:rsidDel="00000000" w:rsidR="00000000" w:rsidRPr="00000000">
        <w:rPr>
          <w:rtl w:val="0"/>
        </w:rPr>
      </w:r>
    </w:p>
    <w:tbl>
      <w:tblPr>
        <w:tblStyle w:val="Table3"/>
        <w:tblW w:w="9923.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3"/>
        <w:tblGridChange w:id="0">
          <w:tblGrid>
            <w:gridCol w:w="9923"/>
          </w:tblGrid>
        </w:tblGridChange>
      </w:tblGrid>
      <w:tr>
        <w:trPr>
          <w:cantSplit w:val="0"/>
          <w:trHeight w:val="460" w:hRule="atLeast"/>
          <w:tblHeader w:val="0"/>
        </w:trPr>
        <w:tc>
          <w:tcPr>
            <w:shd w:fill="d9d9d9" w:val="clear"/>
          </w:tcPr>
          <w:p w:rsidR="00000000" w:rsidDel="00000000" w:rsidP="00000000" w:rsidRDefault="00000000" w:rsidRPr="00000000" w14:paraId="0000001E">
            <w:pPr>
              <w:spacing w:line="276" w:lineRule="auto"/>
              <w:rPr/>
            </w:pPr>
            <w:r w:rsidDel="00000000" w:rsidR="00000000" w:rsidRPr="00000000">
              <w:rPr>
                <w:rtl w:val="0"/>
              </w:rPr>
              <w:t xml:space="preserve">Role description</w:t>
            </w:r>
          </w:p>
        </w:tc>
      </w:tr>
      <w:tr>
        <w:trPr>
          <w:cantSplit w:val="0"/>
          <w:trHeight w:val="460" w:hRule="atLeast"/>
          <w:tblHeader w:val="0"/>
        </w:trPr>
        <w:tc>
          <w:tcPr>
            <w:shd w:fill="ffffff" w:val="clear"/>
          </w:tcPr>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Treasurer's Responsibilities:</w:t>
            </w:r>
          </w:p>
          <w:p w:rsidR="00000000" w:rsidDel="00000000" w:rsidP="00000000" w:rsidRDefault="00000000" w:rsidRPr="00000000" w14:paraId="00000020">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pPr>
            <w:r w:rsidDel="00000000" w:rsidR="00000000" w:rsidRPr="00000000">
              <w:rPr>
                <w:rFonts w:ascii="Roboto" w:cs="Roboto" w:eastAsia="Roboto" w:hAnsi="Roboto"/>
                <w:color w:val="374151"/>
                <w:sz w:val="24"/>
                <w:szCs w:val="24"/>
                <w:rtl w:val="0"/>
              </w:rPr>
              <w:t xml:space="preserve">Oversight of Financial Affairs:</w:t>
            </w:r>
          </w:p>
          <w:p w:rsidR="00000000" w:rsidDel="00000000" w:rsidP="00000000" w:rsidRDefault="00000000" w:rsidRPr="00000000" w14:paraId="00000021">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1440" w:hanging="360"/>
            </w:pPr>
            <w:r w:rsidDel="00000000" w:rsidR="00000000" w:rsidRPr="00000000">
              <w:rPr>
                <w:rFonts w:ascii="Roboto" w:cs="Roboto" w:eastAsia="Roboto" w:hAnsi="Roboto"/>
                <w:color w:val="374151"/>
                <w:sz w:val="24"/>
                <w:szCs w:val="24"/>
                <w:rtl w:val="0"/>
              </w:rPr>
              <w:t xml:space="preserve">Provide oversight of Arts Education Exchange' financial affairs.</w:t>
            </w:r>
          </w:p>
          <w:p w:rsidR="00000000" w:rsidDel="00000000" w:rsidP="00000000" w:rsidRDefault="00000000" w:rsidRPr="00000000" w14:paraId="00000022">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1440" w:hanging="360"/>
            </w:pPr>
            <w:r w:rsidDel="00000000" w:rsidR="00000000" w:rsidRPr="00000000">
              <w:rPr>
                <w:rFonts w:ascii="Roboto" w:cs="Roboto" w:eastAsia="Roboto" w:hAnsi="Roboto"/>
                <w:color w:val="374151"/>
                <w:sz w:val="24"/>
                <w:szCs w:val="24"/>
                <w:rtl w:val="0"/>
              </w:rPr>
              <w:t xml:space="preserve">Ensure sustainable budgeting to support the organization's activities.</w:t>
            </w:r>
          </w:p>
          <w:p w:rsidR="00000000" w:rsidDel="00000000" w:rsidP="00000000" w:rsidRDefault="00000000" w:rsidRPr="00000000" w14:paraId="00000023">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1440" w:hanging="360"/>
            </w:pPr>
            <w:r w:rsidDel="00000000" w:rsidR="00000000" w:rsidRPr="00000000">
              <w:rPr>
                <w:rFonts w:ascii="Roboto" w:cs="Roboto" w:eastAsia="Roboto" w:hAnsi="Roboto"/>
                <w:color w:val="374151"/>
                <w:sz w:val="24"/>
                <w:szCs w:val="24"/>
                <w:rtl w:val="0"/>
              </w:rPr>
              <w:t xml:space="preserve">Implement and maintain effective financial controls.</w:t>
            </w:r>
          </w:p>
          <w:p w:rsidR="00000000" w:rsidDel="00000000" w:rsidP="00000000" w:rsidRDefault="00000000" w:rsidRPr="00000000" w14:paraId="00000024">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pPr>
            <w:r w:rsidDel="00000000" w:rsidR="00000000" w:rsidRPr="00000000">
              <w:rPr>
                <w:rFonts w:ascii="Roboto" w:cs="Roboto" w:eastAsia="Roboto" w:hAnsi="Roboto"/>
                <w:color w:val="374151"/>
                <w:sz w:val="24"/>
                <w:szCs w:val="24"/>
                <w:rtl w:val="0"/>
              </w:rPr>
              <w:t xml:space="preserve">Regulatory Compliance:</w:t>
            </w:r>
          </w:p>
          <w:p w:rsidR="00000000" w:rsidDel="00000000" w:rsidP="00000000" w:rsidRDefault="00000000" w:rsidRPr="00000000" w14:paraId="00000025">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1440" w:hanging="360"/>
            </w:pPr>
            <w:r w:rsidDel="00000000" w:rsidR="00000000" w:rsidRPr="00000000">
              <w:rPr>
                <w:rFonts w:ascii="Roboto" w:cs="Roboto" w:eastAsia="Roboto" w:hAnsi="Roboto"/>
                <w:color w:val="374151"/>
                <w:sz w:val="24"/>
                <w:szCs w:val="24"/>
                <w:rtl w:val="0"/>
              </w:rPr>
              <w:t xml:space="preserve">Ensure compliance with relevant financial regulations and standards.</w:t>
            </w:r>
          </w:p>
          <w:p w:rsidR="00000000" w:rsidDel="00000000" w:rsidP="00000000" w:rsidRDefault="00000000" w:rsidRPr="00000000" w14:paraId="00000026">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pPr>
            <w:r w:rsidDel="00000000" w:rsidR="00000000" w:rsidRPr="00000000">
              <w:rPr>
                <w:rFonts w:ascii="Roboto" w:cs="Roboto" w:eastAsia="Roboto" w:hAnsi="Roboto"/>
                <w:color w:val="374151"/>
                <w:sz w:val="24"/>
                <w:szCs w:val="24"/>
                <w:rtl w:val="0"/>
              </w:rPr>
              <w:t xml:space="preserve">Strategic Financial Planning:</w:t>
            </w:r>
          </w:p>
          <w:p w:rsidR="00000000" w:rsidDel="00000000" w:rsidP="00000000" w:rsidRDefault="00000000" w:rsidRPr="00000000" w14:paraId="00000027">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1440" w:hanging="360"/>
            </w:pPr>
            <w:r w:rsidDel="00000000" w:rsidR="00000000" w:rsidRPr="00000000">
              <w:rPr>
                <w:rFonts w:ascii="Roboto" w:cs="Roboto" w:eastAsia="Roboto" w:hAnsi="Roboto"/>
                <w:color w:val="374151"/>
                <w:sz w:val="24"/>
                <w:szCs w:val="24"/>
                <w:rtl w:val="0"/>
              </w:rPr>
              <w:t xml:space="preserve">Support the development of short and long-term financial plans for Arts Education Exchange.</w:t>
            </w:r>
          </w:p>
          <w:p w:rsidR="00000000" w:rsidDel="00000000" w:rsidP="00000000" w:rsidRDefault="00000000" w:rsidRPr="00000000" w14:paraId="00000028">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1440" w:hanging="360"/>
            </w:pPr>
            <w:r w:rsidDel="00000000" w:rsidR="00000000" w:rsidRPr="00000000">
              <w:rPr>
                <w:rFonts w:ascii="Roboto" w:cs="Roboto" w:eastAsia="Roboto" w:hAnsi="Roboto"/>
                <w:color w:val="374151"/>
                <w:sz w:val="24"/>
                <w:szCs w:val="24"/>
                <w:rtl w:val="0"/>
              </w:rPr>
              <w:t xml:space="preserve">Align financial plans with the Arts Education Exchange 2024-28 Strategy.</w:t>
            </w:r>
          </w:p>
          <w:p w:rsidR="00000000" w:rsidDel="00000000" w:rsidP="00000000" w:rsidRDefault="00000000" w:rsidRPr="00000000" w14:paraId="00000029">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pPr>
            <w:r w:rsidDel="00000000" w:rsidR="00000000" w:rsidRPr="00000000">
              <w:rPr>
                <w:rFonts w:ascii="Roboto" w:cs="Roboto" w:eastAsia="Roboto" w:hAnsi="Roboto"/>
                <w:color w:val="374151"/>
                <w:sz w:val="24"/>
                <w:szCs w:val="24"/>
                <w:rtl w:val="0"/>
              </w:rPr>
              <w:t xml:space="preserve">Collaboration with CEO:</w:t>
            </w:r>
          </w:p>
          <w:p w:rsidR="00000000" w:rsidDel="00000000" w:rsidP="00000000" w:rsidRDefault="00000000" w:rsidRPr="00000000" w14:paraId="0000002A">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1440" w:hanging="360"/>
            </w:pPr>
            <w:r w:rsidDel="00000000" w:rsidR="00000000" w:rsidRPr="00000000">
              <w:rPr>
                <w:rFonts w:ascii="Roboto" w:cs="Roboto" w:eastAsia="Roboto" w:hAnsi="Roboto"/>
                <w:color w:val="374151"/>
                <w:sz w:val="24"/>
                <w:szCs w:val="24"/>
                <w:rtl w:val="0"/>
              </w:rPr>
              <w:t xml:space="preserve">Work closely with the Chief Executive and Head of Trustees to align financial strategies with the overall organisational strategy.</w:t>
            </w:r>
          </w:p>
          <w:p w:rsidR="00000000" w:rsidDel="00000000" w:rsidP="00000000" w:rsidRDefault="00000000" w:rsidRPr="00000000" w14:paraId="0000002B">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pPr>
            <w:r w:rsidDel="00000000" w:rsidR="00000000" w:rsidRPr="00000000">
              <w:rPr>
                <w:rFonts w:ascii="Roboto" w:cs="Roboto" w:eastAsia="Roboto" w:hAnsi="Roboto"/>
                <w:color w:val="374151"/>
                <w:sz w:val="24"/>
                <w:szCs w:val="24"/>
                <w:rtl w:val="0"/>
              </w:rPr>
              <w:t xml:space="preserve">Collaboration with the Finance team:</w:t>
            </w:r>
          </w:p>
          <w:p w:rsidR="00000000" w:rsidDel="00000000" w:rsidP="00000000" w:rsidRDefault="00000000" w:rsidRPr="00000000" w14:paraId="0000002C">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1440" w:hanging="360"/>
            </w:pPr>
            <w:r w:rsidDel="00000000" w:rsidR="00000000" w:rsidRPr="00000000">
              <w:rPr>
                <w:rFonts w:ascii="Roboto" w:cs="Roboto" w:eastAsia="Roboto" w:hAnsi="Roboto"/>
                <w:color w:val="374151"/>
                <w:sz w:val="24"/>
                <w:szCs w:val="24"/>
                <w:rtl w:val="0"/>
              </w:rPr>
              <w:t xml:space="preserve">Collaborate with the finance team, which provides accountancy support to Arts Education Exchange.</w:t>
            </w:r>
          </w:p>
          <w:p w:rsidR="00000000" w:rsidDel="00000000" w:rsidP="00000000" w:rsidRDefault="00000000" w:rsidRPr="00000000" w14:paraId="0000002D">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1440" w:hanging="360"/>
            </w:pPr>
            <w:r w:rsidDel="00000000" w:rsidR="00000000" w:rsidRPr="00000000">
              <w:rPr>
                <w:rFonts w:ascii="Roboto" w:cs="Roboto" w:eastAsia="Roboto" w:hAnsi="Roboto"/>
                <w:color w:val="374151"/>
                <w:sz w:val="24"/>
                <w:szCs w:val="24"/>
                <w:rtl w:val="0"/>
              </w:rPr>
              <w:t xml:space="preserve">This collaboration suggests coordination and communication with external financial support entities.</w:t>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Key Relationships:</w:t>
            </w:r>
          </w:p>
          <w:p w:rsidR="00000000" w:rsidDel="00000000" w:rsidP="00000000" w:rsidRDefault="00000000" w:rsidRPr="00000000" w14:paraId="0000002F">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pPr>
            <w:r w:rsidDel="00000000" w:rsidR="00000000" w:rsidRPr="00000000">
              <w:rPr>
                <w:rFonts w:ascii="Roboto" w:cs="Roboto" w:eastAsia="Roboto" w:hAnsi="Roboto"/>
                <w:color w:val="374151"/>
                <w:sz w:val="24"/>
                <w:szCs w:val="24"/>
                <w:rtl w:val="0"/>
              </w:rPr>
              <w:t xml:space="preserve">Close working relationship with the Chief Executive.</w:t>
            </w:r>
          </w:p>
          <w:p w:rsidR="00000000" w:rsidDel="00000000" w:rsidP="00000000" w:rsidRDefault="00000000" w:rsidRPr="00000000" w14:paraId="00000030">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pPr>
            <w:r w:rsidDel="00000000" w:rsidR="00000000" w:rsidRPr="00000000">
              <w:rPr>
                <w:rFonts w:ascii="Roboto" w:cs="Roboto" w:eastAsia="Roboto" w:hAnsi="Roboto"/>
                <w:color w:val="374151"/>
                <w:sz w:val="24"/>
                <w:szCs w:val="24"/>
                <w:rtl w:val="0"/>
              </w:rPr>
              <w:t xml:space="preserve">Collaboration with the finance team.</w:t>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pacing w:before="300" w:line="276"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Overall, the Treasurer role is crucial for ensuring financial stability, regulatory compliance, and strategic alignment with Arts Education Exchange' goals. This involves collaboration with internal stakeholders, such as the Chief Executive, and external support from the finance team. The Treasurer plays a key role in steering Arts Education Exchange' financial health and supporting its strategic objectives.</w:t>
            </w:r>
          </w:p>
          <w:p w:rsidR="00000000" w:rsidDel="00000000" w:rsidP="00000000" w:rsidRDefault="00000000" w:rsidRPr="00000000" w14:paraId="00000032">
            <w:pPr>
              <w:spacing w:line="276" w:lineRule="auto"/>
              <w:ind w:left="720" w:firstLine="0"/>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tc>
      </w:tr>
    </w:tbl>
    <w:p w:rsidR="00000000" w:rsidDel="00000000" w:rsidP="00000000" w:rsidRDefault="00000000" w:rsidRPr="00000000" w14:paraId="00000034">
      <w:pPr>
        <w:spacing w:line="276" w:lineRule="auto"/>
        <w:rPr/>
      </w:pPr>
      <w:r w:rsidDel="00000000" w:rsidR="00000000" w:rsidRPr="00000000">
        <w:rPr>
          <w:rtl w:val="0"/>
        </w:rPr>
      </w:r>
    </w:p>
    <w:tbl>
      <w:tblPr>
        <w:tblStyle w:val="Table4"/>
        <w:tblW w:w="9923.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3"/>
        <w:tblGridChange w:id="0">
          <w:tblGrid>
            <w:gridCol w:w="9923"/>
          </w:tblGrid>
        </w:tblGridChange>
      </w:tblGrid>
      <w:tr>
        <w:trPr>
          <w:cantSplit w:val="0"/>
          <w:trHeight w:val="460" w:hRule="atLeast"/>
          <w:tblHeader w:val="0"/>
        </w:trPr>
        <w:tc>
          <w:tcPr>
            <w:shd w:fill="d9d9d9" w:val="clear"/>
          </w:tcPr>
          <w:p w:rsidR="00000000" w:rsidDel="00000000" w:rsidP="00000000" w:rsidRDefault="00000000" w:rsidRPr="00000000" w14:paraId="00000035">
            <w:pPr>
              <w:spacing w:line="276" w:lineRule="auto"/>
              <w:rPr/>
            </w:pPr>
            <w:r w:rsidDel="00000000" w:rsidR="00000000" w:rsidRPr="00000000">
              <w:rPr>
                <w:rtl w:val="0"/>
              </w:rPr>
              <w:t xml:space="preserve">Person specification</w:t>
            </w:r>
          </w:p>
        </w:tc>
      </w:tr>
      <w:tr>
        <w:trPr>
          <w:cantSplit w:val="0"/>
          <w:trHeight w:val="460" w:hRule="atLeast"/>
          <w:tblHeader w:val="0"/>
        </w:trPr>
        <w:tc>
          <w:tcPr>
            <w:shd w:fill="auto" w:val="clear"/>
          </w:tcPr>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numPr>
                <w:ilvl w:val="0"/>
                <w:numId w:val="1"/>
              </w:numPr>
              <w:spacing w:line="276" w:lineRule="auto"/>
              <w:ind w:left="720" w:hanging="360"/>
              <w:rPr>
                <w:u w:val="none"/>
              </w:rPr>
            </w:pPr>
            <w:r w:rsidDel="00000000" w:rsidR="00000000" w:rsidRPr="00000000">
              <w:rPr>
                <w:rFonts w:ascii="Roboto" w:cs="Roboto" w:eastAsia="Roboto" w:hAnsi="Roboto"/>
                <w:sz w:val="24"/>
                <w:szCs w:val="24"/>
                <w:rtl w:val="0"/>
              </w:rPr>
              <w:t xml:space="preserve">Practical experience in finance and accounting, with a specific focus on charity finance. </w:t>
            </w:r>
          </w:p>
          <w:p w:rsidR="00000000" w:rsidDel="00000000" w:rsidP="00000000" w:rsidRDefault="00000000" w:rsidRPr="00000000" w14:paraId="00000038">
            <w:pPr>
              <w:numPr>
                <w:ilvl w:val="0"/>
                <w:numId w:val="1"/>
              </w:numPr>
              <w:spacing w:line="276" w:lineRule="auto"/>
              <w:ind w:left="720" w:hanging="360"/>
              <w:rPr>
                <w:u w:val="none"/>
              </w:rPr>
            </w:pPr>
            <w:r w:rsidDel="00000000" w:rsidR="00000000" w:rsidRPr="00000000">
              <w:rPr>
                <w:rFonts w:ascii="Roboto" w:cs="Roboto" w:eastAsia="Roboto" w:hAnsi="Roboto"/>
                <w:sz w:val="24"/>
                <w:szCs w:val="24"/>
                <w:rtl w:val="0"/>
              </w:rPr>
              <w:t xml:space="preserve">The ability to analyse financial data, make evidence-based recommendations, </w:t>
            </w:r>
          </w:p>
          <w:p w:rsidR="00000000" w:rsidDel="00000000" w:rsidP="00000000" w:rsidRDefault="00000000" w:rsidRPr="00000000" w14:paraId="00000039">
            <w:pPr>
              <w:numPr>
                <w:ilvl w:val="0"/>
                <w:numId w:val="1"/>
              </w:numPr>
              <w:spacing w:line="276" w:lineRule="auto"/>
              <w:ind w:left="720" w:hanging="360"/>
              <w:rPr/>
            </w:pPr>
            <w:r w:rsidDel="00000000" w:rsidR="00000000" w:rsidRPr="00000000">
              <w:rPr>
                <w:sz w:val="24"/>
                <w:szCs w:val="24"/>
                <w:highlight w:val="white"/>
                <w:rtl w:val="0"/>
              </w:rPr>
              <w:t xml:space="preserve">Ability to translate financial information for people with no financial background</w:t>
            </w: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3A">
            <w:pPr>
              <w:numPr>
                <w:ilvl w:val="0"/>
                <w:numId w:val="1"/>
              </w:numPr>
              <w:spacing w:line="276" w:lineRule="auto"/>
              <w:ind w:left="720" w:hanging="360"/>
              <w:rPr>
                <w:u w:val="none"/>
              </w:rPr>
            </w:pPr>
            <w:r w:rsidDel="00000000" w:rsidR="00000000" w:rsidRPr="00000000">
              <w:rPr>
                <w:rFonts w:ascii="Roboto" w:cs="Roboto" w:eastAsia="Roboto" w:hAnsi="Roboto"/>
                <w:sz w:val="24"/>
                <w:szCs w:val="24"/>
                <w:rtl w:val="0"/>
              </w:rPr>
              <w:t xml:space="preserve">Additionally, having a Chartered Accountant qualification is considered desirable for this position.</w:t>
            </w:r>
            <w:r w:rsidDel="00000000" w:rsidR="00000000" w:rsidRPr="00000000">
              <w:rPr>
                <w:rtl w:val="0"/>
              </w:rPr>
            </w:r>
          </w:p>
          <w:p w:rsidR="00000000" w:rsidDel="00000000" w:rsidP="00000000" w:rsidRDefault="00000000" w:rsidRPr="00000000" w14:paraId="0000003B">
            <w:pPr>
              <w:spacing w:line="276" w:lineRule="auto"/>
              <w:ind w:left="720" w:firstLine="0"/>
              <w:rPr/>
            </w:pPr>
            <w:bookmarkStart w:colFirst="0" w:colLast="0" w:name="_30j0zll" w:id="1"/>
            <w:bookmarkEnd w:id="1"/>
            <w:r w:rsidDel="00000000" w:rsidR="00000000" w:rsidRPr="00000000">
              <w:rPr>
                <w:rtl w:val="0"/>
              </w:rPr>
            </w:r>
          </w:p>
        </w:tc>
      </w:tr>
    </w:tbl>
    <w:p w:rsidR="00000000" w:rsidDel="00000000" w:rsidP="00000000" w:rsidRDefault="00000000" w:rsidRPr="00000000" w14:paraId="0000003C">
      <w:pPr>
        <w:spacing w:line="276" w:lineRule="auto"/>
        <w:rPr/>
      </w:pPr>
      <w:bookmarkStart w:colFirst="0" w:colLast="0" w:name="_1fob9te" w:id="2"/>
      <w:bookmarkEnd w:id="2"/>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rFonts w:ascii="Roboto" w:cs="Roboto" w:eastAsia="Roboto" w:hAnsi="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7.0" w:type="dxa"/>
        <w:left w:w="115.0" w:type="dxa"/>
        <w:bottom w:w="0.0" w:type="dxa"/>
        <w:right w:w="115.0" w:type="dxa"/>
      </w:tblCellMar>
    </w:tblPr>
  </w:style>
  <w:style w:type="table" w:styleId="Table2">
    <w:basedOn w:val="TableNormal"/>
    <w:tblPr>
      <w:tblStyleRowBandSize w:val="1"/>
      <w:tblStyleColBandSize w:val="1"/>
      <w:tblCellMar>
        <w:top w:w="57.0" w:type="dxa"/>
        <w:left w:w="115.0" w:type="dxa"/>
        <w:bottom w:w="0.0" w:type="dxa"/>
        <w:right w:w="115.0" w:type="dxa"/>
      </w:tblCellMar>
    </w:tblPr>
  </w:style>
  <w:style w:type="table" w:styleId="Table3">
    <w:basedOn w:val="TableNormal"/>
    <w:tblPr>
      <w:tblStyleRowBandSize w:val="1"/>
      <w:tblStyleColBandSize w:val="1"/>
      <w:tblCellMar>
        <w:top w:w="57.0" w:type="dxa"/>
        <w:left w:w="115.0" w:type="dxa"/>
        <w:bottom w:w="0.0" w:type="dxa"/>
        <w:right w:w="115.0" w:type="dxa"/>
      </w:tblCellMar>
    </w:tblPr>
  </w:style>
  <w:style w:type="table" w:styleId="Table4">
    <w:basedOn w:val="TableNormal"/>
    <w:tblPr>
      <w:tblStyleRowBandSize w:val="1"/>
      <w:tblStyleColBandSize w:val="1"/>
      <w:tblCellMar>
        <w:top w:w="57.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